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6735C1A4"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125E98">
              <w:rPr>
                <w:rFonts w:ascii="Times New Roman" w:hAnsi="Times New Roman" w:cs="Times New Roman"/>
                <w:sz w:val="16"/>
                <w:szCs w:val="16"/>
              </w:rPr>
              <w:t xml:space="preserve">- </w:t>
            </w:r>
            <w:r w:rsidR="00735474" w:rsidRPr="00735474">
              <w:rPr>
                <w:rFonts w:ascii="Times New Roman" w:hAnsi="Times New Roman" w:cs="Times New Roman"/>
                <w:sz w:val="16"/>
                <w:szCs w:val="16"/>
              </w:rPr>
              <w:t>activitate economica</w:t>
            </w:r>
            <w:r w:rsidR="00735474">
              <w:rPr>
                <w:rFonts w:ascii="Times New Roman" w:hAnsi="Times New Roman" w:cs="Times New Roman"/>
                <w:sz w:val="16"/>
                <w:szCs w:val="16"/>
              </w:rPr>
              <w:t xml:space="preserve"> </w:t>
            </w:r>
            <w:r w:rsidR="00735474" w:rsidRPr="00735474">
              <w:rPr>
                <w:rFonts w:ascii="Times New Roman" w:hAnsi="Times New Roman" w:cs="Times New Roman"/>
                <w:sz w:val="16"/>
                <w:szCs w:val="16"/>
              </w:rPr>
              <w:t>RO39125506</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628121FD" w:rsidR="00AC3C1C" w:rsidRPr="00645F44" w:rsidRDefault="00057298" w:rsidP="00AC3C1C">
            <w:pPr>
              <w:spacing w:before="120" w:after="120"/>
              <w:rPr>
                <w:rFonts w:ascii="Times New Roman" w:hAnsi="Times New Roman" w:cs="Times New Roman"/>
                <w:sz w:val="16"/>
                <w:szCs w:val="16"/>
              </w:rPr>
            </w:pPr>
            <w:r w:rsidRPr="00057298">
              <w:rPr>
                <w:rFonts w:ascii="Times New Roman" w:hAnsi="Times New Roman" w:cs="Times New Roman"/>
                <w:sz w:val="16"/>
                <w:szCs w:val="16"/>
              </w:rPr>
              <w:t xml:space="preserve">Servicii de paza, </w:t>
            </w:r>
            <w:proofErr w:type="spellStart"/>
            <w:r w:rsidRPr="00057298">
              <w:rPr>
                <w:rFonts w:ascii="Times New Roman" w:hAnsi="Times New Roman" w:cs="Times New Roman"/>
                <w:sz w:val="16"/>
                <w:szCs w:val="16"/>
              </w:rPr>
              <w:t>protecţia</w:t>
            </w:r>
            <w:proofErr w:type="spellEnd"/>
            <w:r w:rsidRPr="00057298">
              <w:rPr>
                <w:rFonts w:ascii="Times New Roman" w:hAnsi="Times New Roman" w:cs="Times New Roman"/>
                <w:sz w:val="16"/>
                <w:szCs w:val="16"/>
              </w:rPr>
              <w:t xml:space="preserve"> </w:t>
            </w:r>
            <w:proofErr w:type="spellStart"/>
            <w:r w:rsidRPr="00057298">
              <w:rPr>
                <w:rFonts w:ascii="Times New Roman" w:hAnsi="Times New Roman" w:cs="Times New Roman"/>
                <w:sz w:val="16"/>
                <w:szCs w:val="16"/>
              </w:rPr>
              <w:t>şi</w:t>
            </w:r>
            <w:proofErr w:type="spellEnd"/>
            <w:r w:rsidRPr="00057298">
              <w:rPr>
                <w:rFonts w:ascii="Times New Roman" w:hAnsi="Times New Roman" w:cs="Times New Roman"/>
                <w:sz w:val="16"/>
                <w:szCs w:val="16"/>
              </w:rPr>
              <w:t xml:space="preserve"> supravegherea Pieței Agroalimentare Centrală a  municipiului Deva,  situată în Deva, str. I. Creangă, nr.5,  jud. Hunedoara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5462D3DB"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3E19A9">
              <w:rPr>
                <w:rFonts w:ascii="Times New Roman" w:hAnsi="Times New Roman" w:cs="Times New Roman"/>
                <w:sz w:val="16"/>
                <w:szCs w:val="16"/>
              </w:rPr>
              <w:t>4</w:t>
            </w:r>
            <w:r w:rsidR="00057298">
              <w:rPr>
                <w:rFonts w:ascii="Times New Roman" w:hAnsi="Times New Roman" w:cs="Times New Roman"/>
                <w:sz w:val="16"/>
                <w:szCs w:val="16"/>
              </w:rPr>
              <w:t>9</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 xml:space="preserve">Ofertanții trebuie sa prezinte lista principalelor servicii similare prestate în cursul unei perioade care acoperă cel mult ultimii 3 ani calculați de la data limita de depunere a ofertelor, cu indicarea valorilor, datelor </w:t>
            </w:r>
            <w:proofErr w:type="spellStart"/>
            <w:r w:rsidRPr="00172057">
              <w:rPr>
                <w:rFonts w:ascii="Times New Roman" w:hAnsi="Times New Roman" w:cs="Times New Roman"/>
                <w:sz w:val="16"/>
                <w:szCs w:val="16"/>
              </w:rPr>
              <w:t>şi</w:t>
            </w:r>
            <w:proofErr w:type="spellEnd"/>
            <w:r w:rsidRPr="00172057">
              <w:rPr>
                <w:rFonts w:ascii="Times New Roman" w:hAnsi="Times New Roman" w:cs="Times New Roman"/>
                <w:sz w:val="16"/>
                <w:szCs w:val="16"/>
              </w:rPr>
              <w:t xml:space="preserve"> a beneficiarilor publici sau </w:t>
            </w:r>
            <w:proofErr w:type="spellStart"/>
            <w:r w:rsidRPr="00172057">
              <w:rPr>
                <w:rFonts w:ascii="Times New Roman" w:hAnsi="Times New Roman" w:cs="Times New Roman"/>
                <w:sz w:val="16"/>
                <w:szCs w:val="16"/>
              </w:rPr>
              <w:t>privaţi</w:t>
            </w:r>
            <w:proofErr w:type="spellEnd"/>
            <w:r w:rsidRPr="00172057">
              <w:rPr>
                <w:rFonts w:ascii="Times New Roman" w:hAnsi="Times New Roman" w:cs="Times New Roman"/>
                <w:sz w:val="16"/>
                <w:szCs w:val="16"/>
              </w:rPr>
              <w:t>.</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F2722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F763" w14:textId="77777777" w:rsidR="00F2722D" w:rsidRDefault="00F2722D" w:rsidP="00BF73A5">
      <w:pPr>
        <w:spacing w:after="0" w:line="240" w:lineRule="auto"/>
      </w:pPr>
      <w:r>
        <w:separator/>
      </w:r>
    </w:p>
  </w:endnote>
  <w:endnote w:type="continuationSeparator" w:id="0">
    <w:p w14:paraId="27E8AFFB" w14:textId="77777777" w:rsidR="00F2722D" w:rsidRDefault="00F2722D"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F66D" w14:textId="77777777" w:rsidR="00F2722D" w:rsidRDefault="00F2722D" w:rsidP="00BF73A5">
      <w:pPr>
        <w:spacing w:after="0" w:line="240" w:lineRule="auto"/>
      </w:pPr>
      <w:r>
        <w:separator/>
      </w:r>
    </w:p>
  </w:footnote>
  <w:footnote w:type="continuationSeparator" w:id="0">
    <w:p w14:paraId="44B04CD3" w14:textId="77777777" w:rsidR="00F2722D" w:rsidRDefault="00F2722D"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7298"/>
    <w:rsid w:val="0006437B"/>
    <w:rsid w:val="000A20EA"/>
    <w:rsid w:val="000B69A3"/>
    <w:rsid w:val="000D0D61"/>
    <w:rsid w:val="000E2CF5"/>
    <w:rsid w:val="00125E98"/>
    <w:rsid w:val="00151B7B"/>
    <w:rsid w:val="00162F6D"/>
    <w:rsid w:val="00172057"/>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3.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10</cp:revision>
  <cp:lastPrinted>2024-03-19T12:18:00Z</cp:lastPrinted>
  <dcterms:created xsi:type="dcterms:W3CDTF">2023-12-13T11:17:00Z</dcterms:created>
  <dcterms:modified xsi:type="dcterms:W3CDTF">2024-03-19T12:18:00Z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